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附件11</w:t>
      </w:r>
    </w:p>
    <w:p>
      <w:pPr>
        <w:autoSpaceDE w:val="0"/>
        <w:autoSpaceDN w:val="0"/>
        <w:adjustRightInd w:val="0"/>
        <w:jc w:val="center"/>
        <w:rPr>
          <w:rFonts w:hint="eastAsia" w:ascii="黑体" w:hAnsi="仿宋" w:eastAsia="黑体" w:cs="仿宋_GB2312"/>
          <w:b/>
          <w:bCs/>
          <w:kern w:val="0"/>
          <w:sz w:val="44"/>
          <w:szCs w:val="44"/>
          <w:lang w:val="en-US" w:eastAsia="zh-CN"/>
        </w:rPr>
      </w:pPr>
      <w:r>
        <w:rPr>
          <w:rFonts w:hint="eastAsia" w:ascii="黑体" w:hAnsi="仿宋" w:eastAsia="黑体" w:cs="仿宋_GB2312"/>
          <w:b/>
          <w:bCs/>
          <w:kern w:val="0"/>
          <w:sz w:val="44"/>
          <w:szCs w:val="44"/>
          <w:lang w:val="en-US" w:eastAsia="zh-CN"/>
        </w:rPr>
        <w:t>统计部门关于2016年部门决算</w:t>
      </w:r>
    </w:p>
    <w:p>
      <w:pPr>
        <w:autoSpaceDE w:val="0"/>
        <w:autoSpaceDN w:val="0"/>
        <w:adjustRightInd w:val="0"/>
        <w:jc w:val="center"/>
        <w:rPr>
          <w:rFonts w:hint="eastAsia" w:ascii="黑体" w:hAnsi="仿宋" w:eastAsia="黑体" w:cs="仿宋_GB2312"/>
          <w:b/>
          <w:bCs/>
          <w:kern w:val="0"/>
          <w:sz w:val="44"/>
          <w:szCs w:val="44"/>
          <w:lang w:val="en-US" w:eastAsia="zh-CN"/>
        </w:rPr>
      </w:pPr>
      <w:r>
        <w:rPr>
          <w:rFonts w:hint="eastAsia" w:ascii="黑体" w:hAnsi="仿宋" w:eastAsia="黑体" w:cs="仿宋_GB2312"/>
          <w:b/>
          <w:bCs/>
          <w:kern w:val="0"/>
          <w:sz w:val="44"/>
          <w:szCs w:val="44"/>
          <w:lang w:val="en-US" w:eastAsia="zh-CN"/>
        </w:rPr>
        <w:t>相关公开事项的补充说明</w:t>
      </w:r>
    </w:p>
    <w:p>
      <w:pPr>
        <w:numPr>
          <w:ilvl w:val="0"/>
          <w:numId w:val="0"/>
        </w:numPr>
        <w:autoSpaceDE w:val="0"/>
        <w:autoSpaceDN w:val="0"/>
        <w:adjustRightInd w:val="0"/>
        <w:jc w:val="center"/>
        <w:rPr>
          <w:rFonts w:hint="eastAsia" w:ascii="仿宋_GB2312" w:hAnsi="仿宋_GB2312" w:eastAsia="仿宋_GB2312" w:cs="仿宋_GB2312"/>
          <w:kern w:val="0"/>
          <w:sz w:val="32"/>
          <w:szCs w:val="32"/>
          <w:lang w:eastAsia="zh-CN"/>
        </w:rPr>
      </w:pP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bookmarkStart w:id="0" w:name="_GoBack"/>
      <w:bookmarkEnd w:id="0"/>
      <w:r>
        <w:rPr>
          <w:rFonts w:hint="eastAsia" w:ascii="仿宋_GB2312" w:hAnsi="仿宋_GB2312" w:eastAsia="仿宋_GB2312" w:cs="仿宋_GB2312"/>
          <w:b/>
          <w:bCs/>
          <w:kern w:val="0"/>
          <w:sz w:val="32"/>
          <w:szCs w:val="32"/>
          <w:lang w:eastAsia="zh-CN"/>
        </w:rPr>
        <w:t>一</w:t>
      </w:r>
      <w:r>
        <w:rPr>
          <w:rFonts w:hint="eastAsia" w:ascii="仿宋_GB2312" w:hAnsi="仿宋_GB2312" w:eastAsia="仿宋_GB2312" w:cs="仿宋_GB2312"/>
          <w:b/>
          <w:bCs/>
          <w:kern w:val="0"/>
          <w:sz w:val="32"/>
          <w:szCs w:val="32"/>
        </w:rPr>
        <w:t>、政府采购支出情况</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2016年</w:t>
      </w:r>
      <w:r>
        <w:rPr>
          <w:rFonts w:hint="eastAsia" w:ascii="仿宋_GB2312" w:hAnsi="仿宋_GB2312" w:eastAsia="仿宋_GB2312" w:cs="仿宋_GB2312"/>
          <w:kern w:val="0"/>
          <w:sz w:val="32"/>
          <w:szCs w:val="32"/>
          <w:lang w:eastAsia="zh-CN"/>
        </w:rPr>
        <w:t>统计</w:t>
      </w:r>
      <w:r>
        <w:rPr>
          <w:rFonts w:hint="eastAsia" w:ascii="仿宋_GB2312" w:hAnsi="仿宋_GB2312" w:eastAsia="仿宋_GB2312" w:cs="仿宋_GB2312"/>
          <w:kern w:val="0"/>
          <w:sz w:val="32"/>
          <w:szCs w:val="32"/>
        </w:rPr>
        <w:t>部门政府采购支出总额</w:t>
      </w:r>
      <w:r>
        <w:rPr>
          <w:rFonts w:hint="eastAsia" w:ascii="仿宋_GB2312" w:hAnsi="仿宋_GB2312" w:eastAsia="仿宋_GB2312" w:cs="仿宋_GB2312"/>
          <w:kern w:val="0"/>
          <w:sz w:val="32"/>
          <w:szCs w:val="32"/>
          <w:lang w:val="en-US" w:eastAsia="zh-CN"/>
        </w:rPr>
        <w:t>914.44</w:t>
      </w:r>
      <w:r>
        <w:rPr>
          <w:rFonts w:hint="eastAsia" w:ascii="仿宋_GB2312" w:hAnsi="仿宋_GB2312" w:eastAsia="仿宋_GB2312" w:cs="仿宋_GB2312"/>
          <w:kern w:val="0"/>
          <w:sz w:val="32"/>
          <w:szCs w:val="32"/>
        </w:rPr>
        <w:t>万元，其中：政府采购货物支出</w:t>
      </w:r>
      <w:r>
        <w:rPr>
          <w:rFonts w:hint="eastAsia" w:ascii="仿宋_GB2312" w:hAnsi="仿宋_GB2312" w:eastAsia="仿宋_GB2312" w:cs="仿宋_GB2312"/>
          <w:kern w:val="0"/>
          <w:sz w:val="32"/>
          <w:szCs w:val="32"/>
          <w:lang w:val="en-US" w:eastAsia="zh-CN"/>
        </w:rPr>
        <w:t>200.21</w:t>
      </w:r>
      <w:r>
        <w:rPr>
          <w:rFonts w:hint="eastAsia" w:ascii="仿宋_GB2312" w:hAnsi="仿宋_GB2312" w:eastAsia="仿宋_GB2312" w:cs="仿宋_GB2312"/>
          <w:kern w:val="0"/>
          <w:sz w:val="32"/>
          <w:szCs w:val="32"/>
        </w:rPr>
        <w:t>万元、政府采购工程支出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万元、政府采购服务支出</w:t>
      </w:r>
      <w:r>
        <w:rPr>
          <w:rFonts w:hint="eastAsia" w:ascii="仿宋_GB2312" w:hAnsi="仿宋_GB2312" w:eastAsia="仿宋_GB2312" w:cs="仿宋_GB2312"/>
          <w:kern w:val="0"/>
          <w:sz w:val="32"/>
          <w:szCs w:val="32"/>
          <w:lang w:val="en-US" w:eastAsia="zh-CN"/>
        </w:rPr>
        <w:t>714.23</w:t>
      </w:r>
      <w:r>
        <w:rPr>
          <w:rFonts w:hint="eastAsia" w:ascii="仿宋_GB2312" w:hAnsi="仿宋_GB2312" w:eastAsia="仿宋_GB2312" w:cs="仿宋_GB2312"/>
          <w:kern w:val="0"/>
          <w:sz w:val="32"/>
          <w:szCs w:val="32"/>
        </w:rPr>
        <w:t>万元。</w:t>
      </w:r>
    </w:p>
    <w:p>
      <w:pPr>
        <w:autoSpaceDE w:val="0"/>
        <w:autoSpaceDN w:val="0"/>
        <w:adjustRightInd w:val="0"/>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、名词解释</w:t>
      </w:r>
    </w:p>
    <w:p>
      <w:pPr>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 xml:space="preserve">财政拨款收入：指省级财政当年拨付的资金。 </w:t>
      </w:r>
    </w:p>
    <w:p>
      <w:pPr>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事业收入：指事业单位开展专业业务活动及辅助活动所取得的收入。</w:t>
      </w:r>
    </w:p>
    <w:p>
      <w:pPr>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 xml:space="preserve">经营收入：指事业单位在专业业务活动及其辅助活动之外开展非独立核算经营活动取得的收入。 </w:t>
      </w:r>
    </w:p>
    <w:p>
      <w:pPr>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 xml:space="preserve">其他收入：指除上述“财政拨款收入”、“事业收入”、“经营收入”等以外的收入。主要是按规定动用的售房收入、存款利息收入等。 </w:t>
      </w:r>
    </w:p>
    <w:p>
      <w:pPr>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707"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年初结转和结余：指以前年度尚未完成、结转到本年 按有关规定继续使用的资金。</w:t>
      </w:r>
    </w:p>
    <w:p>
      <w:pPr>
        <w:pStyle w:val="4"/>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结余分配：指事业单位按规定提取的职工福利基金、事业基金和缴纳的所得税，以及建设单位按规定应交回的基本建设竣工项目结余资金。 </w:t>
      </w:r>
    </w:p>
    <w:p>
      <w:pPr>
        <w:pStyle w:val="4"/>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年末结转和结余：指本年度或以前年度预算安排、因客观条件发生变化无法按原计划实施，需延迟到以后年度按有关规定继续使用的资金。 </w:t>
      </w:r>
    </w:p>
    <w:p>
      <w:pPr>
        <w:pStyle w:val="4"/>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基本支出：指为保障机构正常运转、完成日常工作任务而发生的人员支出和公用支出。 </w:t>
      </w:r>
    </w:p>
    <w:p>
      <w:pPr>
        <w:pStyle w:val="4"/>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项目支出：指在基本支出之外为完成特定行政任务和事业发展目标所发生的支出。 </w:t>
      </w:r>
    </w:p>
    <w:p>
      <w:pPr>
        <w:pStyle w:val="4"/>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 xml:space="preserve">经营支出：指事业单位在专业业务活动及其辅助活动之外开展非独立核算经营活动发生的支出。 </w:t>
      </w:r>
    </w:p>
    <w:p>
      <w:pPr>
        <w:pStyle w:val="4"/>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xml:space="preserve">“三公”经费：纳入省级财政预决算管理的“三公”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4"/>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F5230"/>
    <w:rsid w:val="0BA97C12"/>
    <w:rsid w:val="1ECE08FA"/>
    <w:rsid w:val="5E9A42A5"/>
    <w:rsid w:val="6A9F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2017-10-25T06:53:00Z</dcterms:created>
  <dc:creator>肖程嘉:拟稿</dc:creator>
  <cp:lastModifiedBy>肖程嘉:拟稿</cp:lastModifiedBy>
  <dcterms:modified xsi:type="dcterms:W3CDTF">2017-10-25T08:23:15Z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